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0B65" w14:textId="4466AE5A" w:rsidR="0039463E" w:rsidRPr="004564E2" w:rsidRDefault="009F233F">
      <w:pPr>
        <w:rPr>
          <w:rFonts w:ascii="Tahoma" w:hAnsi="Tahoma" w:cs="Tahoma"/>
        </w:rPr>
      </w:pPr>
      <w:r>
        <w:t xml:space="preserve"> </w:t>
      </w:r>
    </w:p>
    <w:p w14:paraId="0027E743" w14:textId="29A6E88D" w:rsidR="0038530E" w:rsidRPr="004564E2" w:rsidRDefault="0038530E">
      <w:pPr>
        <w:rPr>
          <w:rFonts w:ascii="Tahoma" w:hAnsi="Tahoma" w:cs="Tahoma"/>
          <w:b/>
          <w:bCs/>
        </w:rPr>
      </w:pPr>
      <w:r w:rsidRPr="004564E2">
        <w:rPr>
          <w:rFonts w:ascii="Tahoma" w:hAnsi="Tahoma" w:cs="Tahoma"/>
        </w:rPr>
        <w:tab/>
      </w:r>
      <w:r w:rsidRPr="004564E2">
        <w:rPr>
          <w:rFonts w:ascii="Tahoma" w:hAnsi="Tahoma" w:cs="Tahoma"/>
        </w:rPr>
        <w:tab/>
      </w:r>
      <w:r w:rsidRPr="004564E2">
        <w:rPr>
          <w:rFonts w:ascii="Tahoma" w:hAnsi="Tahoma" w:cs="Tahoma"/>
        </w:rPr>
        <w:tab/>
        <w:t xml:space="preserve">                  </w:t>
      </w:r>
      <w:r w:rsidRPr="004564E2">
        <w:rPr>
          <w:rFonts w:ascii="Tahoma" w:hAnsi="Tahoma" w:cs="Tahoma"/>
          <w:b/>
          <w:bCs/>
        </w:rPr>
        <w:t>OŚWIADCZENIE Nr 2</w:t>
      </w:r>
      <w:r w:rsidR="003F47F2">
        <w:rPr>
          <w:rFonts w:ascii="Tahoma" w:hAnsi="Tahoma" w:cs="Tahoma"/>
          <w:b/>
          <w:bCs/>
        </w:rPr>
        <w:t>/2025</w:t>
      </w:r>
    </w:p>
    <w:p w14:paraId="43BAAC77" w14:textId="052E2A3D" w:rsidR="0038530E" w:rsidRPr="004564E2" w:rsidRDefault="00EB34ED" w:rsidP="00EB34E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</w:t>
      </w:r>
      <w:r w:rsidR="0038530E" w:rsidRPr="004564E2">
        <w:rPr>
          <w:rFonts w:ascii="Tahoma" w:hAnsi="Tahoma" w:cs="Tahoma"/>
          <w:b/>
          <w:bCs/>
        </w:rPr>
        <w:t xml:space="preserve">Rady Gminy Świętajno z dnia </w:t>
      </w:r>
      <w:r>
        <w:rPr>
          <w:rFonts w:ascii="Tahoma" w:hAnsi="Tahoma" w:cs="Tahoma"/>
          <w:b/>
          <w:bCs/>
        </w:rPr>
        <w:t>6 października 2025 roku</w:t>
      </w:r>
    </w:p>
    <w:p w14:paraId="121EE4E7" w14:textId="77777777" w:rsidR="0038530E" w:rsidRPr="004564E2" w:rsidRDefault="0038530E" w:rsidP="0038530E">
      <w:pPr>
        <w:rPr>
          <w:rFonts w:ascii="Tahoma" w:hAnsi="Tahoma" w:cs="Tahoma"/>
          <w:b/>
          <w:bCs/>
        </w:rPr>
      </w:pPr>
    </w:p>
    <w:p w14:paraId="254F0C38" w14:textId="588ECEB3" w:rsidR="0038530E" w:rsidRPr="004564E2" w:rsidRDefault="0038530E" w:rsidP="0038530E">
      <w:pPr>
        <w:rPr>
          <w:rFonts w:ascii="Tahoma" w:hAnsi="Tahoma" w:cs="Tahoma"/>
          <w:b/>
          <w:bCs/>
        </w:rPr>
      </w:pPr>
      <w:r w:rsidRPr="004564E2">
        <w:rPr>
          <w:rFonts w:ascii="Tahoma" w:hAnsi="Tahoma" w:cs="Tahoma"/>
          <w:b/>
          <w:bCs/>
        </w:rPr>
        <w:t>w sprawie poparcia dla realizacji budowy linii kolejowych na Warmii i Mazurach w ramach „Programu inwestycyjnego Centralny Port Komunikacyjny. Etap II. 2024-2030”</w:t>
      </w:r>
    </w:p>
    <w:p w14:paraId="13DB3159" w14:textId="77777777" w:rsidR="0038530E" w:rsidRPr="004564E2" w:rsidRDefault="0038530E" w:rsidP="0038530E">
      <w:pPr>
        <w:rPr>
          <w:rFonts w:ascii="Tahoma" w:hAnsi="Tahoma" w:cs="Tahoma"/>
        </w:rPr>
      </w:pPr>
    </w:p>
    <w:p w14:paraId="4DAA4D6D" w14:textId="59A82365" w:rsidR="0038530E" w:rsidRPr="004564E2" w:rsidRDefault="0038530E" w:rsidP="004564E2">
      <w:pPr>
        <w:ind w:firstLine="708"/>
        <w:rPr>
          <w:rFonts w:ascii="Tahoma" w:hAnsi="Tahoma" w:cs="Tahoma"/>
        </w:rPr>
      </w:pPr>
      <w:r w:rsidRPr="004564E2">
        <w:rPr>
          <w:rFonts w:ascii="Tahoma" w:hAnsi="Tahoma" w:cs="Tahoma"/>
        </w:rPr>
        <w:t xml:space="preserve">Rada Gminy Świętajno wyraża zdecydowane i jednoznaczne </w:t>
      </w:r>
      <w:r w:rsidR="004773A1" w:rsidRPr="004564E2">
        <w:rPr>
          <w:rFonts w:ascii="Tahoma" w:hAnsi="Tahoma" w:cs="Tahoma"/>
        </w:rPr>
        <w:t xml:space="preserve">poparcie dla realizacji inwestycji kolejowych przewidzianych na terenie województwa warmińsko – mazurskiego w ramach </w:t>
      </w:r>
      <w:r w:rsidR="004773A1" w:rsidRPr="004564E2">
        <w:rPr>
          <w:rFonts w:ascii="Tahoma" w:hAnsi="Tahoma" w:cs="Tahoma"/>
          <w:b/>
          <w:bCs/>
        </w:rPr>
        <w:t xml:space="preserve"> </w:t>
      </w:r>
      <w:r w:rsidR="004773A1" w:rsidRPr="004564E2">
        <w:rPr>
          <w:rFonts w:ascii="Tahoma" w:hAnsi="Tahoma" w:cs="Tahoma"/>
        </w:rPr>
        <w:t>„Programu inwestycyjnego Centralny Port Komunikacyjny. Etap II. 2024-2030”, ustanowionego uchwałą nr 201 Rady Ministrów Rzeczypospolitej Polskiej z dnia 24 października 2023 r.</w:t>
      </w:r>
    </w:p>
    <w:p w14:paraId="767E5405" w14:textId="77777777" w:rsidR="004773A1" w:rsidRPr="004564E2" w:rsidRDefault="004773A1" w:rsidP="004564E2">
      <w:pPr>
        <w:rPr>
          <w:rFonts w:ascii="Tahoma" w:hAnsi="Tahoma" w:cs="Tahoma"/>
        </w:rPr>
      </w:pPr>
    </w:p>
    <w:p w14:paraId="45DDC26C" w14:textId="19AB07A4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 w:rsidRPr="004564E2">
        <w:rPr>
          <w:rFonts w:ascii="Tahoma" w:hAnsi="Tahoma" w:cs="Tahoma"/>
          <w:color w:val="222222"/>
          <w:kern w:val="0"/>
        </w:rPr>
        <w:t>W ramach tego programu przewidziana jest realizacja dwóch kluczowych projektów</w:t>
      </w:r>
      <w:r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infrastrukturalnych:</w:t>
      </w:r>
    </w:p>
    <w:p w14:paraId="67787788" w14:textId="4E49C936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eastAsia="CIDFont+F4" w:hAnsi="Tahoma" w:cs="Tahoma"/>
          <w:color w:val="222222"/>
          <w:kern w:val="0"/>
        </w:rPr>
        <w:t xml:space="preserve">- </w:t>
      </w:r>
      <w:r w:rsidRPr="004564E2">
        <w:rPr>
          <w:rFonts w:ascii="Tahoma" w:hAnsi="Tahoma" w:cs="Tahoma"/>
          <w:color w:val="222222"/>
          <w:kern w:val="0"/>
        </w:rPr>
        <w:t>linii kolejowej w ciągu Warszawa – Ciechanów – Olsztyn (Ciąg nr 2),</w:t>
      </w:r>
    </w:p>
    <w:p w14:paraId="138E957E" w14:textId="44CF806C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eastAsia="CIDFont+F4" w:hAnsi="Tahoma" w:cs="Tahoma"/>
          <w:color w:val="222222"/>
          <w:kern w:val="0"/>
        </w:rPr>
        <w:t xml:space="preserve">- </w:t>
      </w:r>
      <w:r w:rsidRPr="004564E2">
        <w:rPr>
          <w:rFonts w:ascii="Tahoma" w:hAnsi="Tahoma" w:cs="Tahoma"/>
          <w:color w:val="222222"/>
          <w:kern w:val="0"/>
        </w:rPr>
        <w:t>linii kolejowej w ciągu Ostrołęka – Łomża – Pisz – Orzysz – Giżycko (Ciąg nr 3).</w:t>
      </w:r>
    </w:p>
    <w:p w14:paraId="4D926762" w14:textId="7EA4C38D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b/>
          <w:bCs/>
          <w:color w:val="222222"/>
          <w:kern w:val="0"/>
        </w:rPr>
      </w:pPr>
      <w:r w:rsidRPr="004564E2">
        <w:rPr>
          <w:rFonts w:ascii="Tahoma" w:hAnsi="Tahoma" w:cs="Tahoma"/>
          <w:b/>
          <w:bCs/>
          <w:color w:val="222222"/>
          <w:kern w:val="0"/>
        </w:rPr>
        <w:t>Rada Gminy wskazuje, że realizacja przedmiotowych inwestycji ma fundamentalne znaczenie dla rozwoju społeczno-gospodarczego Warmii i Mazur, w tym także dla naszej gminy.</w:t>
      </w:r>
    </w:p>
    <w:p w14:paraId="14AF6286" w14:textId="77777777" w:rsid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</w:p>
    <w:p w14:paraId="69724EB5" w14:textId="1717BEBC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 w:rsidRPr="004564E2">
        <w:rPr>
          <w:rFonts w:ascii="Tahoma" w:hAnsi="Tahoma" w:cs="Tahoma"/>
          <w:color w:val="222222"/>
          <w:kern w:val="0"/>
        </w:rPr>
        <w:t>Zwiększenie dostępności transportowej regionu stanowi jeden z kluczowych warunków dla</w:t>
      </w:r>
      <w:r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przeciwdziałania wykluczeniu komunikacyjnemu, które od lat stanowi istotne ograniczenie rozwojowe</w:t>
      </w:r>
      <w:r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dla tej części kraju. Brak odpowiednio rozwiniętej infrastruktury kolejowej znacząco utrudnia dostęp do</w:t>
      </w:r>
      <w:r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rynku pracy, ogranicza możliwości inwestycyjne oraz hamuje rozwój usług i turystyki.</w:t>
      </w:r>
    </w:p>
    <w:p w14:paraId="6142731B" w14:textId="77777777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 w:rsidRPr="004564E2">
        <w:rPr>
          <w:rFonts w:ascii="Tahoma" w:hAnsi="Tahoma" w:cs="Tahoma"/>
          <w:color w:val="222222"/>
          <w:kern w:val="0"/>
        </w:rPr>
        <w:t>Realizacja wskazanych odcinków linii kolejowych zapewni:</w:t>
      </w:r>
    </w:p>
    <w:p w14:paraId="4D46CE97" w14:textId="639AEC59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eastAsia="CIDFont+F4" w:hAnsi="Tahoma" w:cs="Tahoma"/>
          <w:color w:val="222222"/>
          <w:kern w:val="0"/>
        </w:rPr>
        <w:t xml:space="preserve">-  </w:t>
      </w:r>
      <w:r w:rsidRPr="004564E2">
        <w:rPr>
          <w:rFonts w:ascii="Tahoma" w:hAnsi="Tahoma" w:cs="Tahoma"/>
          <w:b/>
          <w:bCs/>
          <w:color w:val="222222"/>
          <w:kern w:val="0"/>
        </w:rPr>
        <w:t>lepszą integrację</w:t>
      </w:r>
      <w:r w:rsidRPr="004564E2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b/>
          <w:bCs/>
          <w:color w:val="222222"/>
          <w:kern w:val="0"/>
        </w:rPr>
        <w:t>Warmii i Mazur z centralną Polską,</w:t>
      </w:r>
    </w:p>
    <w:p w14:paraId="603C09AE" w14:textId="44E4C376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eastAsia="CIDFont+F4" w:hAnsi="Tahoma" w:cs="Tahoma"/>
          <w:color w:val="222222"/>
          <w:kern w:val="0"/>
        </w:rPr>
        <w:t xml:space="preserve">- </w:t>
      </w:r>
      <w:r w:rsidRPr="00260559">
        <w:rPr>
          <w:rFonts w:ascii="Tahoma" w:hAnsi="Tahoma" w:cs="Tahoma"/>
          <w:b/>
          <w:bCs/>
          <w:color w:val="222222"/>
          <w:kern w:val="0"/>
        </w:rPr>
        <w:t>zwiększoną mobilność mieszkańców,</w:t>
      </w:r>
      <w:r w:rsidRPr="004564E2">
        <w:rPr>
          <w:rFonts w:ascii="Tahoma" w:hAnsi="Tahoma" w:cs="Tahoma"/>
          <w:color w:val="222222"/>
          <w:kern w:val="0"/>
        </w:rPr>
        <w:t xml:space="preserve"> którzy będą mogli dotrzeć do stacji pociągów</w:t>
      </w:r>
      <w:r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dalekobieżnych w czasie poniżej godziny (dotyczy to ponad 75% ludności regionu),</w:t>
      </w:r>
    </w:p>
    <w:p w14:paraId="58DB2660" w14:textId="1D399C3F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eastAsia="CIDFont+F4" w:hAnsi="Tahoma" w:cs="Tahoma"/>
          <w:color w:val="222222"/>
          <w:kern w:val="0"/>
        </w:rPr>
        <w:t xml:space="preserve">- </w:t>
      </w:r>
      <w:r w:rsidR="00260559" w:rsidRPr="00260559">
        <w:rPr>
          <w:rFonts w:ascii="Tahoma" w:hAnsi="Tahoma" w:cs="Tahoma"/>
          <w:b/>
          <w:bCs/>
          <w:color w:val="222222"/>
          <w:kern w:val="0"/>
        </w:rPr>
        <w:t>wzrost konkurencyjności lokalnych przedsiębiorstw</w:t>
      </w:r>
      <w:r w:rsidRPr="004564E2">
        <w:rPr>
          <w:rFonts w:ascii="Tahoma" w:hAnsi="Tahoma" w:cs="Tahoma"/>
          <w:color w:val="222222"/>
          <w:kern w:val="0"/>
        </w:rPr>
        <w:t>, dzięki sprawniejszemu przepływowi</w:t>
      </w:r>
      <w:r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towarów i usług,</w:t>
      </w:r>
    </w:p>
    <w:p w14:paraId="632051CB" w14:textId="77777777" w:rsidR="00260559" w:rsidRDefault="00260559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eastAsia="CIDFont+F4" w:hAnsi="Tahoma" w:cs="Tahoma"/>
          <w:color w:val="222222"/>
          <w:kern w:val="0"/>
        </w:rPr>
        <w:t xml:space="preserve">- </w:t>
      </w:r>
      <w:r w:rsidR="004564E2" w:rsidRPr="00260559">
        <w:rPr>
          <w:rFonts w:ascii="Tahoma" w:hAnsi="Tahoma" w:cs="Tahoma"/>
          <w:b/>
          <w:bCs/>
          <w:color w:val="222222"/>
          <w:kern w:val="0"/>
        </w:rPr>
        <w:t>wzrost atrakcyjności inwestycyjnej regionu,</w:t>
      </w:r>
      <w:r w:rsidR="004564E2" w:rsidRPr="004564E2">
        <w:rPr>
          <w:rFonts w:ascii="Tahoma" w:hAnsi="Tahoma" w:cs="Tahoma"/>
          <w:color w:val="222222"/>
          <w:kern w:val="0"/>
        </w:rPr>
        <w:t xml:space="preserve"> co może skutkować nowymi miejscami pracy i</w:t>
      </w:r>
      <w:r>
        <w:rPr>
          <w:rFonts w:ascii="Tahoma" w:hAnsi="Tahoma" w:cs="Tahoma"/>
          <w:color w:val="222222"/>
          <w:kern w:val="0"/>
        </w:rPr>
        <w:t xml:space="preserve"> </w:t>
      </w:r>
      <w:r w:rsidR="004564E2" w:rsidRPr="004564E2">
        <w:rPr>
          <w:rFonts w:ascii="Tahoma" w:hAnsi="Tahoma" w:cs="Tahoma"/>
          <w:color w:val="222222"/>
          <w:kern w:val="0"/>
        </w:rPr>
        <w:t>większymi wpływami do budżetów samorządów,</w:t>
      </w:r>
    </w:p>
    <w:p w14:paraId="3BC08F30" w14:textId="0A38E530" w:rsidR="004564E2" w:rsidRPr="004564E2" w:rsidRDefault="00260559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hAnsi="Tahoma" w:cs="Tahoma"/>
          <w:color w:val="222222"/>
          <w:kern w:val="0"/>
        </w:rPr>
        <w:t xml:space="preserve">- </w:t>
      </w:r>
      <w:r w:rsidR="004564E2" w:rsidRPr="00260559">
        <w:rPr>
          <w:rFonts w:ascii="Tahoma" w:hAnsi="Tahoma" w:cs="Tahoma"/>
          <w:b/>
          <w:bCs/>
          <w:color w:val="222222"/>
          <w:kern w:val="0"/>
        </w:rPr>
        <w:t>wzmocnienie bezpieczeństwa komunikacyjnego i ekologicznego</w:t>
      </w:r>
      <w:r w:rsidR="004564E2" w:rsidRPr="004564E2">
        <w:rPr>
          <w:rFonts w:ascii="Tahoma" w:hAnsi="Tahoma" w:cs="Tahoma"/>
          <w:color w:val="222222"/>
          <w:kern w:val="0"/>
        </w:rPr>
        <w:t>, dzięki promowaniu</w:t>
      </w:r>
    </w:p>
    <w:p w14:paraId="65420B3D" w14:textId="77777777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 w:rsidRPr="004564E2">
        <w:rPr>
          <w:rFonts w:ascii="Tahoma" w:hAnsi="Tahoma" w:cs="Tahoma"/>
          <w:color w:val="222222"/>
          <w:kern w:val="0"/>
        </w:rPr>
        <w:t>transportu kolejowego jako alternatywy dla transportu drogowego.</w:t>
      </w:r>
    </w:p>
    <w:p w14:paraId="6795027F" w14:textId="388B1650" w:rsidR="004564E2" w:rsidRPr="004564E2" w:rsidRDefault="004564E2" w:rsidP="004564E2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 w:rsidRPr="004564E2">
        <w:rPr>
          <w:rFonts w:ascii="Tahoma" w:hAnsi="Tahoma" w:cs="Tahoma"/>
          <w:color w:val="222222"/>
          <w:kern w:val="0"/>
        </w:rPr>
        <w:t>Rada Gminy</w:t>
      </w:r>
      <w:r w:rsidR="00260559">
        <w:rPr>
          <w:rFonts w:ascii="Tahoma" w:hAnsi="Tahoma" w:cs="Tahoma"/>
          <w:color w:val="222222"/>
          <w:kern w:val="0"/>
        </w:rPr>
        <w:t xml:space="preserve"> Świętajno</w:t>
      </w:r>
      <w:r w:rsidRPr="004564E2">
        <w:rPr>
          <w:rFonts w:ascii="Tahoma" w:hAnsi="Tahoma" w:cs="Tahoma"/>
          <w:color w:val="222222"/>
          <w:kern w:val="0"/>
        </w:rPr>
        <w:t xml:space="preserve"> podkreśla, że projektowane inwestycje kolejowe mają charakter</w:t>
      </w:r>
      <w:r w:rsidR="00260559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strategiczny, nie tylko w skali regionalnej, ale i ogólnokrajowej. Ich realizacja przyczyni się do likwidacji</w:t>
      </w:r>
      <w:r w:rsidR="00260559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wieloletnich zaniedbań infrastrukturalnych oraz stworzy nową jakość życia mieszkańcom naszego</w:t>
      </w:r>
      <w:r w:rsidR="00260559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regionu.</w:t>
      </w:r>
    </w:p>
    <w:p w14:paraId="706D4042" w14:textId="28B8866F" w:rsidR="004773A1" w:rsidRDefault="004564E2" w:rsidP="00EB34ED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 w:rsidRPr="004564E2">
        <w:rPr>
          <w:rFonts w:ascii="Tahoma" w:hAnsi="Tahoma" w:cs="Tahoma"/>
          <w:color w:val="222222"/>
          <w:kern w:val="0"/>
        </w:rPr>
        <w:t>W związku z powyższym, Rada Gminy</w:t>
      </w:r>
      <w:r w:rsidR="00260559">
        <w:rPr>
          <w:rFonts w:ascii="Tahoma" w:hAnsi="Tahoma" w:cs="Tahoma"/>
          <w:color w:val="222222"/>
          <w:kern w:val="0"/>
        </w:rPr>
        <w:t xml:space="preserve"> Świętajno </w:t>
      </w:r>
      <w:r w:rsidRPr="004564E2">
        <w:rPr>
          <w:rFonts w:ascii="Tahoma" w:hAnsi="Tahoma" w:cs="Tahoma"/>
          <w:color w:val="222222"/>
          <w:kern w:val="0"/>
        </w:rPr>
        <w:t>apeluje do wszystkich instytucji</w:t>
      </w:r>
      <w:r w:rsidR="00260559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zaangażowanych w realizację Programu CPK, w tym do Ministerstwa Infrastruktury, Spółki CPK oraz</w:t>
      </w:r>
      <w:r w:rsidR="00EB34ED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władz wojewódzkich i parlamentarzystów, o konsekwentne wdrażanie zaplanowanych działań</w:t>
      </w:r>
      <w:r w:rsidR="00EB34ED">
        <w:rPr>
          <w:rFonts w:ascii="Tahoma" w:hAnsi="Tahoma" w:cs="Tahoma"/>
          <w:color w:val="222222"/>
          <w:kern w:val="0"/>
        </w:rPr>
        <w:t xml:space="preserve"> </w:t>
      </w:r>
      <w:r w:rsidRPr="004564E2">
        <w:rPr>
          <w:rFonts w:ascii="Tahoma" w:hAnsi="Tahoma" w:cs="Tahoma"/>
          <w:color w:val="222222"/>
          <w:kern w:val="0"/>
        </w:rPr>
        <w:t>inwestycyjnych i zapewnienie ich pełnego finansowania i terminowej realizacji.</w:t>
      </w:r>
    </w:p>
    <w:p w14:paraId="23F35C22" w14:textId="77777777" w:rsidR="00EB34ED" w:rsidRDefault="00EB34ED" w:rsidP="00EB34ED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</w:p>
    <w:p w14:paraId="1E686A51" w14:textId="561BCB0D" w:rsidR="00EB34ED" w:rsidRDefault="00EB34ED" w:rsidP="00EB34ED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  <w:t>Przewodniczący Rady Gminy</w:t>
      </w:r>
    </w:p>
    <w:p w14:paraId="2BFB7FE5" w14:textId="77777777" w:rsidR="00EB34ED" w:rsidRDefault="00EB34ED" w:rsidP="00EB34ED">
      <w:pPr>
        <w:autoSpaceDE w:val="0"/>
        <w:autoSpaceDN w:val="0"/>
        <w:adjustRightInd w:val="0"/>
        <w:rPr>
          <w:rFonts w:ascii="Tahoma" w:hAnsi="Tahoma" w:cs="Tahoma"/>
          <w:color w:val="222222"/>
          <w:kern w:val="0"/>
        </w:rPr>
      </w:pP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</w:r>
      <w:r>
        <w:rPr>
          <w:rFonts w:ascii="Tahoma" w:hAnsi="Tahoma" w:cs="Tahoma"/>
          <w:color w:val="222222"/>
          <w:kern w:val="0"/>
        </w:rPr>
        <w:tab/>
        <w:t xml:space="preserve"> </w:t>
      </w:r>
    </w:p>
    <w:p w14:paraId="3AF41D06" w14:textId="4000AC43" w:rsidR="00EB34ED" w:rsidRPr="00EB34ED" w:rsidRDefault="00EB34ED" w:rsidP="00EB34ED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222222"/>
          <w:kern w:val="0"/>
        </w:rPr>
      </w:pPr>
      <w:r>
        <w:rPr>
          <w:rFonts w:ascii="Tahoma" w:hAnsi="Tahoma" w:cs="Tahoma"/>
          <w:color w:val="222222"/>
          <w:kern w:val="0"/>
        </w:rPr>
        <w:t xml:space="preserve">      Maciej Andrzej Nowik</w:t>
      </w:r>
    </w:p>
    <w:sectPr w:rsidR="00EB34ED" w:rsidRPr="00EB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0E"/>
    <w:rsid w:val="00026F7C"/>
    <w:rsid w:val="00064CB9"/>
    <w:rsid w:val="00260559"/>
    <w:rsid w:val="002A7317"/>
    <w:rsid w:val="0038530E"/>
    <w:rsid w:val="0039463E"/>
    <w:rsid w:val="003959AB"/>
    <w:rsid w:val="003F47F2"/>
    <w:rsid w:val="004564E2"/>
    <w:rsid w:val="004773A1"/>
    <w:rsid w:val="005E01DC"/>
    <w:rsid w:val="005E16DD"/>
    <w:rsid w:val="00651998"/>
    <w:rsid w:val="00766D80"/>
    <w:rsid w:val="008C24E1"/>
    <w:rsid w:val="009E227B"/>
    <w:rsid w:val="009F233F"/>
    <w:rsid w:val="00C62E8E"/>
    <w:rsid w:val="00DF761E"/>
    <w:rsid w:val="00EB34ED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2E1A"/>
  <w15:chartTrackingRefBased/>
  <w15:docId w15:val="{2CB1A0B3-DDEC-4310-B3CE-B994AA78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3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3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2025-10-06T11:14:00Z</cp:lastPrinted>
  <dcterms:created xsi:type="dcterms:W3CDTF">2025-10-02T08:14:00Z</dcterms:created>
  <dcterms:modified xsi:type="dcterms:W3CDTF">2025-10-06T11:14:00Z</dcterms:modified>
</cp:coreProperties>
</file>